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0AE7A" w14:textId="77777777" w:rsidR="0028696A" w:rsidRPr="00FB5216" w:rsidRDefault="00FB5216" w:rsidP="00FB5216">
      <w:pPr>
        <w:pBdr>
          <w:bottom w:val="single" w:sz="4" w:space="1" w:color="auto"/>
        </w:pBdr>
        <w:rPr>
          <w:b/>
          <w:sz w:val="28"/>
          <w:szCs w:val="28"/>
        </w:rPr>
      </w:pPr>
      <w:r w:rsidRPr="00FB5216">
        <w:rPr>
          <w:b/>
          <w:sz w:val="28"/>
          <w:szCs w:val="28"/>
        </w:rPr>
        <w:t>Document behandeltarieven</w:t>
      </w:r>
    </w:p>
    <w:p w14:paraId="1EEB063E" w14:textId="77777777" w:rsidR="002D3E3A" w:rsidRPr="00FB5216" w:rsidRDefault="002D3E3A" w:rsidP="002D3E3A">
      <w:pPr>
        <w:pStyle w:val="Lijstalinea"/>
        <w:numPr>
          <w:ilvl w:val="0"/>
          <w:numId w:val="1"/>
        </w:numPr>
        <w:rPr>
          <w:b/>
        </w:rPr>
      </w:pPr>
      <w:r w:rsidRPr="00FB5216">
        <w:rPr>
          <w:b/>
        </w:rPr>
        <w:t>Tarieven</w:t>
      </w:r>
      <w:r w:rsidR="0063110E">
        <w:rPr>
          <w:b/>
        </w:rPr>
        <w:br/>
      </w:r>
    </w:p>
    <w:p w14:paraId="04148B61" w14:textId="158E6B94" w:rsidR="00054E7E" w:rsidRDefault="00A309A9" w:rsidP="004F0501">
      <w:pPr>
        <w:pStyle w:val="Lijstalinea"/>
        <w:numPr>
          <w:ilvl w:val="0"/>
          <w:numId w:val="3"/>
        </w:numPr>
      </w:pPr>
      <w:r>
        <w:t>Ik heb met alle zorg</w:t>
      </w:r>
      <w:r w:rsidR="00054E7E">
        <w:t xml:space="preserve">verzekeraars </w:t>
      </w:r>
      <w:r>
        <w:t xml:space="preserve">een contract </w:t>
      </w:r>
      <w:r w:rsidR="00054E7E">
        <w:t>afgesloten</w:t>
      </w:r>
      <w:r>
        <w:t xml:space="preserve">. Ik </w:t>
      </w:r>
      <w:r w:rsidR="00054E7E">
        <w:t>hanteer ik i</w:t>
      </w:r>
      <w:r w:rsidR="0039139E" w:rsidRPr="0039139E">
        <w:t xml:space="preserve">n mijn praktijk </w:t>
      </w:r>
      <w:r>
        <w:t>90-95</w:t>
      </w:r>
      <w:r w:rsidR="0039139E" w:rsidRPr="0039139E">
        <w:t xml:space="preserve"> % van </w:t>
      </w:r>
      <w:r w:rsidR="0039139E">
        <w:t xml:space="preserve">de </w:t>
      </w:r>
      <w:r w:rsidR="00EB3DD9">
        <w:t xml:space="preserve">bijgevoegde </w:t>
      </w:r>
      <w:r w:rsidR="0039139E">
        <w:t xml:space="preserve">door de NZa vastgestelde </w:t>
      </w:r>
      <w:r w:rsidR="00B276ED">
        <w:t>maximum</w:t>
      </w:r>
      <w:r w:rsidR="0039139E" w:rsidRPr="0039139E">
        <w:t>tarie</w:t>
      </w:r>
      <w:r w:rsidR="0039139E">
        <w:t>ven voor de gb-ggz</w:t>
      </w:r>
      <w:r w:rsidR="00054E7E">
        <w:t>.</w:t>
      </w:r>
      <w:r w:rsidR="008A789A">
        <w:t xml:space="preserve"> Dit zijn de </w:t>
      </w:r>
      <w:hyperlink r:id="rId8" w:history="1">
        <w:r w:rsidR="0063110E">
          <w:rPr>
            <w:rStyle w:val="Hyperlink"/>
          </w:rPr>
          <w:t>t</w:t>
        </w:r>
        <w:r w:rsidR="008A789A" w:rsidRPr="0039139E">
          <w:rPr>
            <w:rStyle w:val="Hyperlink"/>
          </w:rPr>
          <w:t>arieven voor de gb-ggz</w:t>
        </w:r>
      </w:hyperlink>
      <w:r w:rsidR="008A789A">
        <w:rPr>
          <w:rStyle w:val="Hyperlink"/>
        </w:rPr>
        <w:t xml:space="preserve"> in 2017.</w:t>
      </w:r>
      <w:r w:rsidR="008A789A">
        <w:br/>
      </w:r>
    </w:p>
    <w:p w14:paraId="12279D5F" w14:textId="7CD81F4A" w:rsidR="008D492D" w:rsidRDefault="002D3E3A" w:rsidP="008273AA">
      <w:pPr>
        <w:pStyle w:val="Lijstalinea"/>
        <w:numPr>
          <w:ilvl w:val="0"/>
          <w:numId w:val="1"/>
        </w:numPr>
      </w:pPr>
      <w:r w:rsidRPr="00A309A9">
        <w:rPr>
          <w:b/>
        </w:rPr>
        <w:t>Tarief Overig (zorg)produc</w:t>
      </w:r>
      <w:r w:rsidRPr="00FB5216">
        <w:rPr>
          <w:b/>
        </w:rPr>
        <w:t>t</w:t>
      </w:r>
      <w:r w:rsidRPr="00A309A9">
        <w:rPr>
          <w:rStyle w:val="Voetnootmarkering"/>
          <w:b/>
        </w:rPr>
        <w:footnoteReference w:id="1"/>
      </w:r>
      <w:r w:rsidRPr="00FB5216">
        <w:rPr>
          <w:b/>
        </w:rPr>
        <w:br/>
      </w:r>
      <w:r w:rsidR="00177539">
        <w:t>H</w:t>
      </w:r>
      <w:r>
        <w:t>et maximum OZP-tarief</w:t>
      </w:r>
      <w:r w:rsidR="00177539">
        <w:t xml:space="preserve"> voor de prestatie </w:t>
      </w:r>
      <w:r w:rsidR="0039139E">
        <w:t>‘</w:t>
      </w:r>
      <w:r w:rsidR="0039139E" w:rsidRPr="0039139E">
        <w:t>ozp niet-basispakketzorg consult</w:t>
      </w:r>
      <w:r>
        <w:t>, v</w:t>
      </w:r>
      <w:r w:rsidRPr="002D3E3A">
        <w:t>astgesteld</w:t>
      </w:r>
      <w:r>
        <w:t xml:space="preserve"> door de NZa, is voor 2017</w:t>
      </w:r>
      <w:r w:rsidR="00047141">
        <w:t xml:space="preserve">: € </w:t>
      </w:r>
      <w:r>
        <w:t>9</w:t>
      </w:r>
      <w:r w:rsidR="0039139E">
        <w:t>8,00</w:t>
      </w:r>
      <w:r>
        <w:t xml:space="preserve"> per sessie</w:t>
      </w:r>
      <w:r w:rsidR="00177539">
        <w:t>.</w:t>
      </w:r>
      <w:r w:rsidR="00A309A9">
        <w:t xml:space="preserve"> </w:t>
      </w:r>
      <w:r w:rsidR="00177539">
        <w:t>Het tarief in mijn praktijk is</w:t>
      </w:r>
      <w:r w:rsidR="00A309A9">
        <w:t xml:space="preserve"> </w:t>
      </w:r>
      <w:r w:rsidR="00A309A9">
        <w:t>: € 9</w:t>
      </w:r>
      <w:r w:rsidR="00A309A9">
        <w:t>0</w:t>
      </w:r>
      <w:r w:rsidR="00A309A9">
        <w:t>,00 per sessie</w:t>
      </w:r>
      <w:r w:rsidR="00A309A9">
        <w:t>.</w:t>
      </w:r>
    </w:p>
    <w:p w14:paraId="62BD0A0E" w14:textId="77777777" w:rsidR="00E97F7E" w:rsidRDefault="00E97F7E" w:rsidP="00E97F7E">
      <w:pPr>
        <w:pStyle w:val="Lijstalinea"/>
      </w:pPr>
    </w:p>
    <w:p w14:paraId="6E47C979" w14:textId="77777777" w:rsidR="008A789A" w:rsidRPr="008A789A" w:rsidRDefault="002D3E3A" w:rsidP="008A789A">
      <w:pPr>
        <w:pStyle w:val="Lijstalinea"/>
        <w:numPr>
          <w:ilvl w:val="0"/>
          <w:numId w:val="1"/>
        </w:numPr>
      </w:pPr>
      <w:r w:rsidRPr="008A789A">
        <w:rPr>
          <w:b/>
        </w:rPr>
        <w:t>Tarief zelfbetalers</w:t>
      </w:r>
      <w:r w:rsidR="00E97F7E">
        <w:rPr>
          <w:b/>
        </w:rPr>
        <w:br/>
      </w:r>
    </w:p>
    <w:p w14:paraId="7AAA22F1" w14:textId="77777777" w:rsidR="00A309A9" w:rsidRDefault="008A789A" w:rsidP="00A309A9">
      <w:pPr>
        <w:pStyle w:val="Lijstalinea"/>
      </w:pPr>
      <w:r>
        <w:t xml:space="preserve">Het tarief in mijn praktijk voor zelfbetalers is  </w:t>
      </w:r>
      <w:r w:rsidR="00A309A9">
        <w:t>€ 90,00 per sessie.</w:t>
      </w:r>
    </w:p>
    <w:p w14:paraId="3446EC74" w14:textId="77777777" w:rsidR="00A309A9" w:rsidRDefault="00A309A9" w:rsidP="00A309A9">
      <w:pPr>
        <w:pStyle w:val="Lijstalinea"/>
      </w:pPr>
    </w:p>
    <w:p w14:paraId="03323666" w14:textId="4BCEC114" w:rsidR="008A789A" w:rsidRDefault="002D3E3A" w:rsidP="00A309A9">
      <w:pPr>
        <w:pStyle w:val="Lijstalinea"/>
        <w:numPr>
          <w:ilvl w:val="0"/>
          <w:numId w:val="1"/>
        </w:numPr>
      </w:pPr>
      <w:r w:rsidRPr="00A309A9">
        <w:rPr>
          <w:b/>
        </w:rPr>
        <w:t>Voorwaarden en tarief no-show</w:t>
      </w:r>
      <w:r w:rsidR="00177539" w:rsidRPr="00A309A9">
        <w:rPr>
          <w:b/>
        </w:rPr>
        <w:t>:</w:t>
      </w:r>
      <w:r w:rsidR="00D357DA" w:rsidRPr="00A309A9">
        <w:rPr>
          <w:b/>
        </w:rPr>
        <w:t xml:space="preserve"> </w:t>
      </w:r>
      <w:r w:rsidR="00D357DA" w:rsidRPr="00A309A9">
        <w:rPr>
          <w:b/>
        </w:rPr>
        <w:br/>
      </w:r>
      <w:r w:rsidR="00177539">
        <w:t>Het</w:t>
      </w:r>
      <w:r w:rsidR="00047141">
        <w:t xml:space="preserve"> tarief voor no-show is: € 50</w:t>
      </w:r>
      <w:r w:rsidR="00177539">
        <w:t>,</w:t>
      </w:r>
      <w:r w:rsidR="00047141">
        <w:t>00</w:t>
      </w:r>
      <w:r w:rsidR="00177539">
        <w:t xml:space="preserve"> per </w:t>
      </w:r>
      <w:r w:rsidR="00D357DA">
        <w:t xml:space="preserve">gemiste afspraak. </w:t>
      </w:r>
    </w:p>
    <w:p w14:paraId="402AB6A7" w14:textId="5F7D1AFD" w:rsidR="00D357DA" w:rsidRPr="00D357DA" w:rsidRDefault="00047141"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br w:type="page"/>
      </w: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3989945F"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5E861DA8" w14:textId="77777777" w:rsidR="00D357DA" w:rsidRPr="00D357DA" w:rsidRDefault="00427C01"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lastRenderedPageBreak/>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3A07D956" w14:textId="453C2747"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A309A9">
              <w:rPr>
                <w:rFonts w:ascii="Calibri" w:eastAsia="Times New Roman" w:hAnsi="Calibri" w:cs="Calibri"/>
                <w:b/>
                <w:color w:val="4BACC6"/>
                <w:sz w:val="28"/>
                <w:szCs w:val="28"/>
                <w:lang w:eastAsia="nl-NL"/>
              </w:rPr>
              <w:t>etalingsvoorwaarden</w:t>
            </w:r>
            <w:r w:rsidR="00427C01"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427C01" w:rsidRPr="008D492D">
              <w:rPr>
                <w:rFonts w:ascii="Trebuchet MS" w:eastAsia="Times New Roman" w:hAnsi="Trebuchet MS" w:cs="Trebuchet MS"/>
                <w:b/>
                <w:bCs/>
                <w:color w:val="009999"/>
                <w:sz w:val="28"/>
                <w:szCs w:val="28"/>
                <w:lang w:eastAsia="nl-NL"/>
              </w:rPr>
              <w:fldChar w:fldCharType="end"/>
            </w:r>
          </w:p>
          <w:p w14:paraId="390535EA"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2510EABA"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6D01ECD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0017D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3A12290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Deze betalingsvoorwaarden zijn van toepassing op alle behandelingsovereenkomsten tussen de gz-psycholoog, psychotherapeut, klinisch psycholoog (hierna te noemen: behandelaar) en de patiënt.</w:t>
      </w:r>
    </w:p>
    <w:p w14:paraId="311E1B7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A2CC0F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38DB2D3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w:t>
      </w:r>
      <w:bookmarkStart w:id="0" w:name="_GoBack"/>
      <w:bookmarkEnd w:id="0"/>
      <w:r w:rsidRPr="00D357DA">
        <w:rPr>
          <w:rFonts w:ascii="Calibri" w:eastAsia="Times New Roman" w:hAnsi="Calibri" w:cs="Trebuchet MS"/>
          <w:szCs w:val="20"/>
          <w:lang w:eastAsia="nl-NL"/>
        </w:rPr>
        <w:t>en uiterlijk 24 uur voor het tijdstip van de behandeling geannuleerd worden. Bij niet annuleren en bij annuleringen binnen 24 uur voor de afspraak is de behandelaar gerechtigd de gereserveerde tijd naar redelijkheid en billijkheid aan de patiënt in rekening te brengen.</w:t>
      </w:r>
      <w:r>
        <w:rPr>
          <w:rFonts w:ascii="Calibri" w:eastAsia="Times New Roman" w:hAnsi="Calibri" w:cs="Trebuchet MS"/>
          <w:szCs w:val="20"/>
          <w:lang w:eastAsia="nl-NL"/>
        </w:rPr>
        <w:t xml:space="preserve"> </w:t>
      </w:r>
      <w:r w:rsidR="0039139E">
        <w:t>Dit betekent dat de patiënt buiten de kosten voor de behandelingen een aparte factuur krijgt. Deze factuur moet de patiënt zelf betalen en kan niet bij de zorgverzekeraar ingediend worden.</w:t>
      </w:r>
      <w:r w:rsidR="0039139E">
        <w:br/>
      </w:r>
    </w:p>
    <w:p w14:paraId="66349CD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3959D85D"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367E402D"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61B466A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2F19491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14:paraId="33A7C3D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2307C2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18EB8FF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4FBC88A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273E7BF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4F2C52C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722C6F3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0D5E2F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5E32D632" w14:textId="77777777" w:rsidR="002D3E3A" w:rsidRPr="00047141" w:rsidRDefault="00D357DA"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sectPr w:rsidR="002D3E3A" w:rsidRPr="00047141" w:rsidSect="000A433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B81DC" w14:textId="77777777" w:rsidR="00874676" w:rsidRDefault="00874676" w:rsidP="002D3E3A">
      <w:pPr>
        <w:spacing w:after="0" w:line="240" w:lineRule="auto"/>
      </w:pPr>
      <w:r>
        <w:separator/>
      </w:r>
    </w:p>
  </w:endnote>
  <w:endnote w:type="continuationSeparator" w:id="0">
    <w:p w14:paraId="55C13858" w14:textId="77777777" w:rsidR="00874676" w:rsidRDefault="00874676"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71FC8F90"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C66673">
              <w:rPr>
                <w:b/>
                <w:bCs/>
                <w:noProof/>
              </w:rPr>
              <w:t>2</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C66673">
              <w:rPr>
                <w:b/>
                <w:bCs/>
                <w:noProof/>
              </w:rPr>
              <w:t>2</w:t>
            </w:r>
            <w:r w:rsidR="00427C01">
              <w:rPr>
                <w:b/>
                <w:bCs/>
                <w:sz w:val="24"/>
                <w:szCs w:val="24"/>
              </w:rPr>
              <w:fldChar w:fldCharType="end"/>
            </w:r>
          </w:p>
        </w:sdtContent>
      </w:sdt>
    </w:sdtContent>
  </w:sdt>
  <w:p w14:paraId="74FFFD0D" w14:textId="77777777" w:rsidR="000A4333" w:rsidRDefault="000A43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5828A" w14:textId="77777777" w:rsidR="00874676" w:rsidRDefault="00874676" w:rsidP="002D3E3A">
      <w:pPr>
        <w:spacing w:after="0" w:line="240" w:lineRule="auto"/>
      </w:pPr>
      <w:r>
        <w:separator/>
      </w:r>
    </w:p>
  </w:footnote>
  <w:footnote w:type="continuationSeparator" w:id="0">
    <w:p w14:paraId="30563BBC" w14:textId="77777777" w:rsidR="00874676" w:rsidRDefault="00874676" w:rsidP="002D3E3A">
      <w:pPr>
        <w:spacing w:after="0" w:line="240" w:lineRule="auto"/>
      </w:pPr>
      <w:r>
        <w:continuationSeparator/>
      </w:r>
    </w:p>
  </w:footnote>
  <w:footnote w:id="1">
    <w:p w14:paraId="03616B12" w14:textId="77777777" w:rsidR="002D3E3A" w:rsidRDefault="002D3E3A" w:rsidP="002D3E3A">
      <w:r>
        <w:rPr>
          <w:rStyle w:val="Voetnootmarkering"/>
        </w:rPr>
        <w:footnoteRef/>
      </w:r>
      <w:r>
        <w:t xml:space="preserve"> * overig product (OVP) heet vanaf 2017 overig zorgproduct (OZP</w:t>
      </w:r>
      <w:r w:rsidRPr="002D3E3A">
        <w:t xml:space="preserve">). </w:t>
      </w:r>
    </w:p>
    <w:p w14:paraId="0673222D" w14:textId="77777777" w:rsidR="002D3E3A" w:rsidRDefault="002D3E3A">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7789D"/>
    <w:multiLevelType w:val="hybridMultilevel"/>
    <w:tmpl w:val="05B2C17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B925CF"/>
    <w:multiLevelType w:val="hybridMultilevel"/>
    <w:tmpl w:val="24F0703E"/>
    <w:lvl w:ilvl="0" w:tplc="9D9C1702">
      <w:start w:val="1"/>
      <w:numFmt w:val="bullet"/>
      <w:lvlText w:val="□"/>
      <w:lvlJc w:val="left"/>
      <w:pPr>
        <w:ind w:left="1440" w:hanging="360"/>
      </w:pPr>
      <w:rPr>
        <w:rFonts w:ascii="SimSun" w:eastAsia="SimSun" w:hAnsi="SimSun" w:hint="eastAsia"/>
        <w:strike/>
        <w:lang w:val="nl-NL"/>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A6422B6"/>
    <w:multiLevelType w:val="multilevel"/>
    <w:tmpl w:val="F6D29196"/>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strike/>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3A"/>
    <w:rsid w:val="00047141"/>
    <w:rsid w:val="00054E7E"/>
    <w:rsid w:val="0009519D"/>
    <w:rsid w:val="000A4333"/>
    <w:rsid w:val="00102C12"/>
    <w:rsid w:val="0011567C"/>
    <w:rsid w:val="00124E57"/>
    <w:rsid w:val="00177539"/>
    <w:rsid w:val="00243C46"/>
    <w:rsid w:val="002D3E3A"/>
    <w:rsid w:val="0039139E"/>
    <w:rsid w:val="00427C01"/>
    <w:rsid w:val="0063110E"/>
    <w:rsid w:val="007B1A01"/>
    <w:rsid w:val="007C18F8"/>
    <w:rsid w:val="00874676"/>
    <w:rsid w:val="008A789A"/>
    <w:rsid w:val="008D492D"/>
    <w:rsid w:val="00911705"/>
    <w:rsid w:val="00A309A9"/>
    <w:rsid w:val="00B276ED"/>
    <w:rsid w:val="00B42163"/>
    <w:rsid w:val="00BA227C"/>
    <w:rsid w:val="00BD75BE"/>
    <w:rsid w:val="00C46FE8"/>
    <w:rsid w:val="00C66673"/>
    <w:rsid w:val="00D357DA"/>
    <w:rsid w:val="00D5237D"/>
    <w:rsid w:val="00E97F7E"/>
    <w:rsid w:val="00EB3DD9"/>
    <w:rsid w:val="00ED2AC0"/>
    <w:rsid w:val="00F547FE"/>
    <w:rsid w:val="00FB5216"/>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5BC2"/>
  <w15:docId w15:val="{72EFA331-1BAA-4C8D-876B-2438B9AA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a.nl/regelgeving/tarieven-en-prestaties/TB_REG_17613_01__Generalistische_basis_gg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A8B66-9B2A-40CF-AE49-351E3D09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Folkerts</dc:creator>
  <cp:keywords/>
  <dc:description/>
  <cp:lastModifiedBy>Eveline Folkerts</cp:lastModifiedBy>
  <cp:revision>2</cp:revision>
  <dcterms:created xsi:type="dcterms:W3CDTF">2016-11-22T08:45:00Z</dcterms:created>
  <dcterms:modified xsi:type="dcterms:W3CDTF">2016-11-22T08:45:00Z</dcterms:modified>
</cp:coreProperties>
</file>